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DD12" w14:textId="77777777" w:rsidR="00FB46DE" w:rsidRPr="009E4319" w:rsidRDefault="00775803" w:rsidP="00C84D84">
      <w:pPr>
        <w:pStyle w:val="BodyText"/>
        <w:rPr>
          <w:sz w:val="16"/>
          <w:szCs w:val="16"/>
        </w:rPr>
      </w:pPr>
    </w:p>
    <w:p w14:paraId="1CEADE72" w14:textId="77777777" w:rsidR="00AF2FE7" w:rsidRDefault="00775803" w:rsidP="00363843">
      <w:pPr>
        <w:rPr>
          <w:rFonts w:ascii="Arial" w:hAnsi="Arial" w:cs="Arial"/>
          <w:color w:val="645FAA" w:themeColor="accent3"/>
          <w:sz w:val="48"/>
        </w:rPr>
      </w:pPr>
      <w:r>
        <w:rPr>
          <w:rFonts w:ascii="Arial" w:hAnsi="Arial" w:cs="Arial"/>
          <w:noProof/>
          <w:color w:val="645FAA" w:themeColor="accent3"/>
          <w:sz w:val="48"/>
        </w:rPr>
        <w:t>Simulation Training</w:t>
      </w:r>
      <w:r>
        <w:rPr>
          <w:rFonts w:ascii="Arial" w:hAnsi="Arial" w:cs="Arial"/>
          <w:color w:val="645FAA" w:themeColor="accent3"/>
          <w:sz w:val="48"/>
        </w:rPr>
        <w:t xml:space="preserve"> for Maintenance of Certification in Anesthesiology-April 25, 2022</w:t>
      </w:r>
    </w:p>
    <w:p w14:paraId="79648C42" w14:textId="7913436F" w:rsidR="00C24DD2" w:rsidRDefault="00775803" w:rsidP="00363843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t xml:space="preserve">Mon, </w:t>
      </w:r>
      <w:r>
        <w:rPr>
          <w:rFonts w:ascii="Arial" w:hAnsi="Arial" w:cs="Arial"/>
          <w:sz w:val="36"/>
        </w:rPr>
        <w:t xml:space="preserve">April 25, 2022  </w:t>
      </w:r>
    </w:p>
    <w:p w14:paraId="2165BFCE" w14:textId="77777777" w:rsidR="00C24DD2" w:rsidRDefault="00775803" w:rsidP="00363843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t>7:00</w:t>
      </w:r>
      <w:r>
        <w:rPr>
          <w:rFonts w:ascii="Arial" w:hAnsi="Arial" w:cs="Arial"/>
          <w:sz w:val="36"/>
        </w:rPr>
        <w:t xml:space="preserve"> AM</w:t>
      </w:r>
      <w:r>
        <w:rPr>
          <w:rFonts w:ascii="Arial" w:hAnsi="Arial" w:cs="Arial"/>
          <w:sz w:val="36"/>
        </w:rPr>
        <w:t xml:space="preserve"> - </w:t>
      </w:r>
      <w:r>
        <w:rPr>
          <w:rFonts w:ascii="Arial" w:hAnsi="Arial" w:cs="Arial"/>
          <w:noProof/>
          <w:sz w:val="36"/>
        </w:rPr>
        <w:t>5:00</w:t>
      </w:r>
      <w:r>
        <w:rPr>
          <w:rFonts w:ascii="Arial" w:hAnsi="Arial" w:cs="Arial"/>
          <w:sz w:val="36"/>
        </w:rPr>
        <w:t xml:space="preserve"> PM</w:t>
      </w:r>
    </w:p>
    <w:p w14:paraId="577C172E" w14:textId="77777777" w:rsidR="00363843" w:rsidRPr="009A0852" w:rsidRDefault="00775803" w:rsidP="00363843">
      <w:pPr>
        <w:rPr>
          <w:rFonts w:ascii="Arial" w:hAnsi="Arial" w:cs="Arial"/>
          <w:sz w:val="36"/>
        </w:rPr>
      </w:pPr>
      <w:r w:rsidRPr="00095034">
        <w:rPr>
          <w:rFonts w:ascii="Arial" w:hAnsi="Arial" w:cs="Arial"/>
          <w:noProof/>
          <w:sz w:val="36"/>
        </w:rPr>
        <w:t>Cedars-Sinai Women</w:t>
      </w:r>
      <w:r w:rsidRPr="00095034">
        <w:rPr>
          <w:rFonts w:ascii="Arial" w:hAnsi="Arial" w:cs="Arial"/>
          <w:sz w:val="36"/>
        </w:rPr>
        <w:t>’s Guild Simulation Center</w:t>
      </w:r>
    </w:p>
    <w:p w14:paraId="5904FFB1" w14:textId="3664962A" w:rsidR="00363843" w:rsidRDefault="00775803" w:rsidP="00775803">
      <w:r w:rsidRPr="00363843">
        <w:rPr>
          <w:rFonts w:ascii="Arial" w:hAnsi="Arial" w:cs="Arial"/>
          <w:sz w:val="32"/>
        </w:rPr>
        <w:t xml:space="preserve"> </w:t>
      </w:r>
    </w:p>
    <w:p w14:paraId="2FD20ADC" w14:textId="77777777" w:rsidR="009C2651" w:rsidRPr="00EC77D0" w:rsidRDefault="00775803" w:rsidP="00D53FD1">
      <w:pPr>
        <w:pStyle w:val="Heading3"/>
        <w:ind w:left="90"/>
        <w:rPr>
          <w:sz w:val="20"/>
          <w:szCs w:val="20"/>
        </w:rPr>
      </w:pPr>
      <w:r w:rsidRPr="00EC77D0">
        <w:rPr>
          <w:sz w:val="20"/>
          <w:szCs w:val="20"/>
        </w:rPr>
        <w:t>P</w:t>
      </w:r>
      <w:r w:rsidRPr="00EC77D0">
        <w:rPr>
          <w:sz w:val="20"/>
          <w:szCs w:val="20"/>
        </w:rPr>
        <w:t>OLICY ON DISCLOSURE</w:t>
      </w:r>
      <w:r w:rsidRPr="00EC77D0">
        <w:rPr>
          <w:sz w:val="20"/>
          <w:szCs w:val="20"/>
        </w:rPr>
        <w:t>:</w:t>
      </w:r>
    </w:p>
    <w:p w14:paraId="27F7606E" w14:textId="77777777" w:rsidR="00186A5C" w:rsidRDefault="00775803" w:rsidP="009C2651">
      <w:pPr>
        <w:rPr>
          <w:rFonts w:ascii="Arial" w:eastAsia="Times New Roman" w:hAnsi="Arial" w:cs="Arial"/>
          <w:color w:val="000000"/>
        </w:rPr>
      </w:pPr>
      <w:r w:rsidRPr="00EC77D0">
        <w:rPr>
          <w:rFonts w:ascii="Arial" w:eastAsia="Times New Roman" w:hAnsi="Arial" w:cs="Arial"/>
          <w:color w:val="000000"/>
        </w:rPr>
        <w:t xml:space="preserve">Cedars-Sinai adheres to the ACCME’s Standards for Integrity and Independence in </w:t>
      </w:r>
      <w:r w:rsidRPr="00EC77D0">
        <w:rPr>
          <w:rFonts w:ascii="Arial" w:eastAsia="Times New Roman" w:hAnsi="Arial" w:cs="Arial"/>
          <w:color w:val="000000"/>
        </w:rPr>
        <w:t xml:space="preserve">Accredited Continuing Education. Any individuals in a position to control the content of a CE activity, including faculty, planners, </w:t>
      </w:r>
      <w:proofErr w:type="gramStart"/>
      <w:r w:rsidRPr="00EC77D0">
        <w:rPr>
          <w:rFonts w:ascii="Arial" w:eastAsia="Times New Roman" w:hAnsi="Arial" w:cs="Arial"/>
          <w:color w:val="000000"/>
        </w:rPr>
        <w:t>reviewers</w:t>
      </w:r>
      <w:proofErr w:type="gramEnd"/>
      <w:r w:rsidRPr="00EC77D0">
        <w:rPr>
          <w:rFonts w:ascii="Arial" w:eastAsia="Times New Roman" w:hAnsi="Arial" w:cs="Arial"/>
          <w:color w:val="000000"/>
        </w:rPr>
        <w:t xml:space="preserve"> or others are required to disclose all relevant financial relationships with ineligible entities (commercial inte</w:t>
      </w:r>
      <w:r w:rsidRPr="00EC77D0">
        <w:rPr>
          <w:rFonts w:ascii="Arial" w:eastAsia="Times New Roman" w:hAnsi="Arial" w:cs="Arial"/>
          <w:color w:val="000000"/>
        </w:rPr>
        <w:t>rests).  The following was reported.  All relevant conflicts of interest have been mitigated prior to the commencement of the activity.</w:t>
      </w:r>
    </w:p>
    <w:p w14:paraId="583B32E0" w14:textId="77777777" w:rsidR="001D5345" w:rsidRDefault="00775803" w:rsidP="009C2651">
      <w:pPr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3310"/>
        <w:gridCol w:w="4419"/>
      </w:tblGrid>
      <w:tr w:rsidR="005D5A55" w14:paraId="50F5A669" w14:textId="77777777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21BB02F" w14:textId="77777777" w:rsidR="005D5A55" w:rsidRDefault="00775803">
            <w:pPr>
              <w:jc w:val="center"/>
            </w:pPr>
            <w:r>
              <w:rPr>
                <w:b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B430219" w14:textId="77777777" w:rsidR="005D5A55" w:rsidRDefault="00775803">
            <w:pPr>
              <w:jc w:val="center"/>
            </w:pPr>
            <w:r>
              <w:rPr>
                <w:b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4B438D9" w14:textId="77777777" w:rsidR="005D5A55" w:rsidRDefault="00775803">
            <w:pPr>
              <w:jc w:val="center"/>
            </w:pPr>
            <w:r>
              <w:rPr>
                <w:b/>
              </w:rPr>
              <w:t>Name of Ineligible Company(s) / Nature of Relationship(s)</w:t>
            </w:r>
          </w:p>
        </w:tc>
      </w:tr>
      <w:tr w:rsidR="005D5A55" w14:paraId="4297161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DF237" w14:textId="77777777" w:rsidR="005D5A55" w:rsidRDefault="00775803">
            <w:r>
              <w:t>Chamnan Nann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233A5" w14:textId="77777777" w:rsidR="005D5A55" w:rsidRDefault="00775803">
            <w:r>
              <w:t>Activity Administrator, Other Planning 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C430F6" w14:textId="77777777" w:rsidR="005D5A55" w:rsidRDefault="00775803">
            <w:r>
              <w:t>Nothing to disclose - 11/04/2021</w:t>
            </w:r>
          </w:p>
        </w:tc>
      </w:tr>
      <w:tr w:rsidR="005D5A55" w14:paraId="6061D3D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88B6A" w14:textId="77777777" w:rsidR="005D5A55" w:rsidRDefault="00775803">
            <w:r>
              <w:t>Roya Yumul, MD, PhD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9276A" w14:textId="77777777" w:rsidR="005D5A55" w:rsidRDefault="00775803">
            <w:r>
              <w:t>Course Director,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9F968" w14:textId="77777777" w:rsidR="005D5A55" w:rsidRDefault="00775803">
            <w:r>
              <w:t>Nothing to disclose - 04/07/2022</w:t>
            </w:r>
          </w:p>
        </w:tc>
      </w:tr>
      <w:tr w:rsidR="005D5A55" w14:paraId="31DF7ADA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89668" w14:textId="77777777" w:rsidR="005D5A55" w:rsidRDefault="00775803">
            <w:r>
              <w:t>Omar Durra,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EC934" w14:textId="77777777" w:rsidR="005D5A55" w:rsidRDefault="00775803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9BD49" w14:textId="77777777" w:rsidR="005D5A55" w:rsidRDefault="00775803">
            <w:r>
              <w:t>Nothing to disclose - 11/01/2021</w:t>
            </w:r>
          </w:p>
        </w:tc>
      </w:tr>
      <w:tr w:rsidR="005D5A55" w14:paraId="0F7FA1B6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8D529" w14:textId="77777777" w:rsidR="005D5A55" w:rsidRDefault="00775803">
            <w:r>
              <w:t>Robert Wong,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96692C" w14:textId="77777777" w:rsidR="005D5A55" w:rsidRDefault="00775803">
            <w: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DB0AD" w14:textId="77777777" w:rsidR="005D5A55" w:rsidRDefault="00775803">
            <w:r>
              <w:t>Nothing to disclose - 10/11/2021</w:t>
            </w:r>
          </w:p>
        </w:tc>
      </w:tr>
      <w:tr w:rsidR="005D5A55" w14:paraId="182DB51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B73D2" w14:textId="77777777" w:rsidR="005D5A55" w:rsidRDefault="00775803">
            <w:r>
              <w:t>Jeffrey Barnum, Criminology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71BAC" w14:textId="77777777" w:rsidR="005D5A55" w:rsidRDefault="00775803">
            <w:r>
              <w:t>Other Planning 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D9444" w14:textId="77777777" w:rsidR="005D5A55" w:rsidRDefault="00775803">
            <w:r>
              <w:t>Nothing to disclose - 10/18/2021</w:t>
            </w:r>
          </w:p>
        </w:tc>
      </w:tr>
      <w:tr w:rsidR="005D5A55" w14:paraId="1D15D1B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82824" w14:textId="77777777" w:rsidR="005D5A55" w:rsidRDefault="00775803">
            <w:r>
              <w:t>Efren Esteves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8B42E" w14:textId="77777777" w:rsidR="005D5A55" w:rsidRDefault="00775803">
            <w:r>
              <w:t>Other Planning 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5575F" w14:textId="77777777" w:rsidR="005D5A55" w:rsidRDefault="00775803">
            <w:r>
              <w:t>Nothing to disclose - 10/18/2021</w:t>
            </w:r>
          </w:p>
        </w:tc>
      </w:tr>
      <w:tr w:rsidR="005D5A55" w14:paraId="145D0EC9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B6392" w14:textId="77777777" w:rsidR="005D5A55" w:rsidRDefault="00775803">
            <w:r>
              <w:t>Ai Jin Lee, MSN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7CF2C" w14:textId="77777777" w:rsidR="005D5A55" w:rsidRDefault="00775803">
            <w:r>
              <w:t xml:space="preserve">Other Planning </w:t>
            </w:r>
            <w:r>
              <w:t>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3C3D8" w14:textId="77777777" w:rsidR="005D5A55" w:rsidRDefault="00775803">
            <w:r>
              <w:t>Nothing to disclose - 06/23/2021</w:t>
            </w:r>
          </w:p>
        </w:tc>
      </w:tr>
      <w:tr w:rsidR="005D5A55" w14:paraId="7C70B3A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CFC47" w14:textId="77777777" w:rsidR="005D5A55" w:rsidRDefault="00775803">
            <w:r>
              <w:t>Walter Ochoa, Sim 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6FFAA" w14:textId="77777777" w:rsidR="005D5A55" w:rsidRDefault="00775803">
            <w:r>
              <w:t>Other Planning Committee Member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B0EBA" w14:textId="77777777" w:rsidR="005D5A55" w:rsidRDefault="00775803">
            <w:r>
              <w:t>Nothing to disclose - 03/23/2022</w:t>
            </w:r>
          </w:p>
        </w:tc>
      </w:tr>
      <w:tr w:rsidR="005D5A55" w14:paraId="01099BE5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A30AC" w14:textId="77777777" w:rsidR="005D5A55" w:rsidRDefault="00775803">
            <w:r>
              <w:t>Russell D Metcalfe-Smith, MSc, NRP, CHSE-A, CHSOS-A FSSH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9DFC5" w14:textId="77777777" w:rsidR="005D5A55" w:rsidRDefault="00775803">
            <w:r>
              <w:t>Planner/Reviewer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A65A2" w14:textId="77777777" w:rsidR="005D5A55" w:rsidRDefault="00775803">
            <w:r>
              <w:t>Nothing to disclose - 02/14/2022</w:t>
            </w:r>
          </w:p>
        </w:tc>
      </w:tr>
    </w:tbl>
    <w:p w14:paraId="68AE61D4" w14:textId="77777777" w:rsidR="00B27D1A" w:rsidRPr="007D41E7" w:rsidRDefault="00775803">
      <w:pPr>
        <w:spacing w:after="280" w:afterAutospacing="1"/>
        <w:rPr>
          <w:rFonts w:ascii="Arial" w:hAnsi="Arial" w:cs="Arial"/>
        </w:rPr>
      </w:pPr>
    </w:p>
    <w:p w14:paraId="04EBF75A" w14:textId="77777777" w:rsidR="009E4319" w:rsidRPr="00EC77D0" w:rsidRDefault="00775803" w:rsidP="00D53FD1">
      <w:pPr>
        <w:pStyle w:val="Heading3"/>
        <w:ind w:left="90"/>
        <w:rPr>
          <w:sz w:val="20"/>
          <w:szCs w:val="20"/>
        </w:rPr>
      </w:pPr>
      <w:r w:rsidRPr="00EC77D0">
        <w:rPr>
          <w:sz w:val="20"/>
          <w:szCs w:val="20"/>
        </w:rPr>
        <w:t>ACCREDI</w:t>
      </w:r>
      <w:r w:rsidRPr="00EC77D0">
        <w:rPr>
          <w:sz w:val="20"/>
          <w:szCs w:val="20"/>
        </w:rPr>
        <w:t>TATION STATEMENT</w:t>
      </w:r>
      <w:r w:rsidRPr="00EC77D0">
        <w:rPr>
          <w:sz w:val="20"/>
          <w:szCs w:val="20"/>
        </w:rPr>
        <w:t xml:space="preserve">: </w:t>
      </w:r>
    </w:p>
    <w:p w14:paraId="6B7CE94C" w14:textId="77777777" w:rsidR="009E4319" w:rsidRPr="007D41E7" w:rsidRDefault="00775803" w:rsidP="00D53FD1">
      <w:pPr>
        <w:ind w:left="90"/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Cedars-Sinai Medical Center is accredited by the Accreditation Council for Continuing Medical Education to provide continuing medical education for physicians.</w:t>
      </w:r>
    </w:p>
    <w:p w14:paraId="320EEBE4" w14:textId="77777777" w:rsidR="009E4319" w:rsidRPr="007D41E7" w:rsidRDefault="00775803" w:rsidP="009E4319">
      <w:pPr>
        <w:rPr>
          <w:rFonts w:ascii="Arial" w:eastAsia="Times New Roman" w:hAnsi="Arial" w:cs="Arial"/>
          <w:color w:val="000000"/>
        </w:rPr>
      </w:pPr>
    </w:p>
    <w:p w14:paraId="017C573C" w14:textId="77777777" w:rsidR="009E4319" w:rsidRPr="00EC77D0" w:rsidRDefault="00775803" w:rsidP="00D53FD1">
      <w:pPr>
        <w:pStyle w:val="Heading3"/>
        <w:ind w:left="90"/>
        <w:rPr>
          <w:sz w:val="20"/>
          <w:szCs w:val="20"/>
        </w:rPr>
      </w:pPr>
      <w:r w:rsidRPr="00EC77D0">
        <w:rPr>
          <w:sz w:val="20"/>
          <w:szCs w:val="20"/>
        </w:rPr>
        <w:t>CREDIT DESIGNATION STATEMENT</w:t>
      </w:r>
      <w:r w:rsidRPr="00EC77D0">
        <w:rPr>
          <w:sz w:val="20"/>
          <w:szCs w:val="20"/>
        </w:rPr>
        <w:t xml:space="preserve">: </w:t>
      </w:r>
    </w:p>
    <w:p w14:paraId="1A2B3E43" w14:textId="77777777" w:rsidR="002703E2" w:rsidRDefault="00775803" w:rsidP="008803D0">
      <w:pPr>
        <w:rPr>
          <w:rFonts w:ascii="Arial" w:hAnsi="Arial" w:cs="Arial"/>
        </w:rPr>
      </w:pPr>
      <w:r w:rsidRPr="007D41E7">
        <w:rPr>
          <w:rFonts w:ascii="Arial" w:eastAsia="Times New Roman" w:hAnsi="Arial" w:cs="Arial"/>
          <w:color w:val="000000"/>
        </w:rPr>
        <w:t xml:space="preserve">Cedars-Sinai Medical Center designates this </w:t>
      </w:r>
      <w:r w:rsidRPr="00CA44E1">
        <w:rPr>
          <w:rFonts w:ascii="Arial" w:hAnsi="Arial" w:cs="Arial"/>
          <w:bCs/>
          <w:noProof/>
        </w:rPr>
        <w:t>Live Activity</w:t>
      </w:r>
      <w:r>
        <w:rPr>
          <w:rFonts w:ascii="Arial" w:hAnsi="Arial" w:cs="Arial"/>
          <w:b/>
        </w:rPr>
        <w:t xml:space="preserve"> </w:t>
      </w:r>
      <w:r w:rsidRPr="007D41E7">
        <w:rPr>
          <w:rFonts w:ascii="Arial" w:eastAsia="Times New Roman" w:hAnsi="Arial" w:cs="Arial"/>
          <w:color w:val="000000"/>
        </w:rPr>
        <w:t xml:space="preserve">for a maximum of </w:t>
      </w:r>
      <w:r>
        <w:rPr>
          <w:rFonts w:ascii="Arial" w:hAnsi="Arial" w:cs="Arial"/>
          <w:b/>
          <w:noProof/>
        </w:rPr>
        <w:t>8.00</w:t>
      </w:r>
      <w:r>
        <w:rPr>
          <w:rFonts w:ascii="Arial" w:hAnsi="Arial" w:cs="Arial"/>
          <w:b/>
        </w:rPr>
        <w:t xml:space="preserve"> </w:t>
      </w:r>
      <w:r w:rsidRPr="007D41E7">
        <w:rPr>
          <w:rFonts w:ascii="Arial" w:eastAsia="Times New Roman" w:hAnsi="Arial" w:cs="Arial"/>
          <w:i/>
          <w:color w:val="000000"/>
        </w:rPr>
        <w:t>AMA PRA Category</w:t>
      </w:r>
      <w:r w:rsidRPr="007D41E7">
        <w:rPr>
          <w:rFonts w:ascii="Arial" w:eastAsia="Times New Roman" w:hAnsi="Arial" w:cs="Arial"/>
          <w:i/>
          <w:color w:val="000000"/>
        </w:rPr>
        <w:t xml:space="preserve"> 1 </w:t>
      </w:r>
      <w:r w:rsidRPr="007D41E7">
        <w:rPr>
          <w:rFonts w:ascii="Arial" w:eastAsia="Times New Roman" w:hAnsi="Arial" w:cs="Arial"/>
          <w:i/>
          <w:color w:val="000000"/>
        </w:rPr>
        <w:t>Credit(s)</w:t>
      </w:r>
      <w:r w:rsidRPr="007D41E7">
        <w:rPr>
          <w:rFonts w:ascii="Arial" w:eastAsia="Times New Roman" w:hAnsi="Arial" w:cs="Arial"/>
          <w:color w:val="000000"/>
        </w:rPr>
        <w:t>™. Physicians should claim only the credit commensurate with the extent of their participation in the activity.</w:t>
      </w:r>
      <w:r w:rsidRPr="007D41E7">
        <w:rPr>
          <w:rFonts w:ascii="Arial" w:hAnsi="Arial" w:cs="Arial"/>
        </w:rPr>
        <w:t xml:space="preserve"> </w:t>
      </w:r>
    </w:p>
    <w:p w14:paraId="0800634A" w14:textId="77777777" w:rsidR="002703E2" w:rsidRDefault="00775803" w:rsidP="009E4319">
      <w:pPr>
        <w:rPr>
          <w:rFonts w:ascii="Arial" w:hAnsi="Arial" w:cs="Arial"/>
        </w:rPr>
      </w:pPr>
    </w:p>
    <w:p w14:paraId="11EDCFC9" w14:textId="77777777" w:rsidR="008803D0" w:rsidRPr="00EC77D0" w:rsidRDefault="00775803" w:rsidP="008803D0">
      <w:pPr>
        <w:pStyle w:val="Heading3"/>
        <w:ind w:left="90"/>
        <w:rPr>
          <w:sz w:val="20"/>
          <w:szCs w:val="20"/>
        </w:rPr>
      </w:pPr>
      <w:r w:rsidRPr="00EC77D0">
        <w:rPr>
          <w:sz w:val="20"/>
          <w:szCs w:val="20"/>
        </w:rPr>
        <w:t>NON-PHYSICIAN ATTENDANCE</w:t>
      </w:r>
    </w:p>
    <w:p w14:paraId="6B490F32" w14:textId="77777777" w:rsidR="008803D0" w:rsidRDefault="00775803" w:rsidP="008803D0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217AA">
        <w:rPr>
          <w:rFonts w:ascii="Arial" w:hAnsi="Arial" w:cs="Arial"/>
        </w:rPr>
        <w:t xml:space="preserve">articipation </w:t>
      </w:r>
      <w:r>
        <w:rPr>
          <w:rFonts w:ascii="Arial" w:hAnsi="Arial" w:cs="Arial"/>
        </w:rPr>
        <w:t xml:space="preserve">credit </w:t>
      </w:r>
      <w:r w:rsidRPr="000217AA">
        <w:rPr>
          <w:rFonts w:ascii="Arial" w:hAnsi="Arial" w:cs="Arial"/>
        </w:rPr>
        <w:t xml:space="preserve">will be provided to other health care professionals </w:t>
      </w:r>
      <w:r>
        <w:rPr>
          <w:rFonts w:ascii="Arial" w:hAnsi="Arial" w:cs="Arial"/>
        </w:rPr>
        <w:t>via your CME Portal transcript</w:t>
      </w:r>
      <w:r w:rsidRPr="000217AA">
        <w:rPr>
          <w:rFonts w:ascii="Arial" w:hAnsi="Arial" w:cs="Arial"/>
        </w:rPr>
        <w:t>. Participants should ensure in advance that their credentialing or licensing organization accepts AMA PRA Category 1 Credits™.</w:t>
      </w:r>
    </w:p>
    <w:p w14:paraId="6CD8EA0F" w14:textId="77777777" w:rsidR="005C5913" w:rsidRDefault="00775803" w:rsidP="008803D0">
      <w:pPr>
        <w:rPr>
          <w:rFonts w:ascii="Arial" w:hAnsi="Arial" w:cs="Arial"/>
        </w:rPr>
      </w:pPr>
    </w:p>
    <w:sectPr w:rsidR="005C5913" w:rsidSect="00495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54" w:right="565" w:bottom="274" w:left="60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CFB1" w14:textId="77777777" w:rsidR="00000000" w:rsidRDefault="00775803">
      <w:pPr>
        <w:spacing w:before="0"/>
      </w:pPr>
      <w:r>
        <w:separator/>
      </w:r>
    </w:p>
  </w:endnote>
  <w:endnote w:type="continuationSeparator" w:id="0">
    <w:p w14:paraId="7244E005" w14:textId="77777777" w:rsidR="00000000" w:rsidRDefault="007758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5ABC" w14:textId="77777777" w:rsidR="006870BA" w:rsidRDefault="00775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E346" w14:textId="77777777" w:rsidR="00314EFC" w:rsidRPr="006870BA" w:rsidRDefault="00775803" w:rsidP="00687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238F" w14:textId="77777777" w:rsidR="006870BA" w:rsidRDefault="00775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9159" w14:textId="77777777" w:rsidR="00000000" w:rsidRDefault="00775803">
      <w:pPr>
        <w:spacing w:before="0"/>
      </w:pPr>
      <w:r>
        <w:separator/>
      </w:r>
    </w:p>
  </w:footnote>
  <w:footnote w:type="continuationSeparator" w:id="0">
    <w:p w14:paraId="1AF8B9F5" w14:textId="77777777" w:rsidR="00000000" w:rsidRDefault="007758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3592" w14:textId="77777777" w:rsidR="006870BA" w:rsidRDefault="00775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5B21" w14:textId="77777777" w:rsidR="00C84D84" w:rsidRDefault="00775803" w:rsidP="009E4319">
    <w:pPr>
      <w:ind w:left="6597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763244E" wp14:editId="71749269">
          <wp:simplePos x="0" y="0"/>
          <wp:positionH relativeFrom="page">
            <wp:align>right</wp:align>
          </wp:positionH>
          <wp:positionV relativeFrom="paragraph">
            <wp:posOffset>829310</wp:posOffset>
          </wp:positionV>
          <wp:extent cx="7970520" cy="8970645"/>
          <wp:effectExtent l="0" t="0" r="0" b="1905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4"/>
                  <a:stretch/>
                </pic:blipFill>
                <pic:spPr bwMode="auto">
                  <a:xfrm>
                    <a:off x="0" y="0"/>
                    <a:ext cx="7970520" cy="8970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034">
      <w:rPr>
        <w:b/>
        <w:noProof/>
      </w:rPr>
      <w:drawing>
        <wp:anchor distT="0" distB="0" distL="114300" distR="114300" simplePos="0" relativeHeight="251658240" behindDoc="0" locked="0" layoutInCell="1" allowOverlap="1" wp14:anchorId="2021AA53" wp14:editId="46900672">
          <wp:simplePos x="0" y="0"/>
          <wp:positionH relativeFrom="column">
            <wp:posOffset>-116840</wp:posOffset>
          </wp:positionH>
          <wp:positionV relativeFrom="paragraph">
            <wp:posOffset>-244475</wp:posOffset>
          </wp:positionV>
          <wp:extent cx="1719234" cy="542620"/>
          <wp:effectExtent l="0" t="0" r="0" b="3810"/>
          <wp:wrapNone/>
          <wp:docPr id="3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E29AC4B-4AC8-D746-9438-0269B35DA23A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9234" cy="5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167B" w14:textId="77777777" w:rsidR="006870BA" w:rsidRDefault="00775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A6F"/>
    <w:multiLevelType w:val="hybridMultilevel"/>
    <w:tmpl w:val="73224CE6"/>
    <w:lvl w:ilvl="0" w:tplc="31E8117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686C8F90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0581E78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A061780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40CF6A2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A669FD2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B4EA1564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1C79BC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A148D1E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0FD5B82"/>
    <w:multiLevelType w:val="hybridMultilevel"/>
    <w:tmpl w:val="AC8A9AF4"/>
    <w:lvl w:ilvl="0" w:tplc="05D03D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8CA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A2D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21D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8AE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E3E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EC8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28A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E26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9A2ADC"/>
    <w:multiLevelType w:val="hybridMultilevel"/>
    <w:tmpl w:val="023C15B0"/>
    <w:lvl w:ilvl="0" w:tplc="2D76904A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DE8C1FDE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CACA6060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9DF695B2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657E1722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C65E9D62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4C9C6A10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89B8FCB4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3F84D0C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79DF2444"/>
    <w:multiLevelType w:val="hybridMultilevel"/>
    <w:tmpl w:val="45FC4664"/>
    <w:lvl w:ilvl="0" w:tplc="C4AC9704">
      <w:numFmt w:val="bullet"/>
      <w:pStyle w:val="Bullet1"/>
      <w:lvlText w:val="•"/>
      <w:lvlJc w:val="left"/>
      <w:pPr>
        <w:ind w:left="267" w:hanging="150"/>
      </w:pPr>
      <w:rPr>
        <w:rFonts w:ascii="Arial" w:eastAsia="Arial" w:hAnsi="Arial" w:cs="Arial" w:hint="default"/>
        <w:color w:val="DC1E34"/>
        <w:w w:val="100"/>
        <w:sz w:val="20"/>
        <w:szCs w:val="20"/>
      </w:rPr>
    </w:lvl>
    <w:lvl w:ilvl="1" w:tplc="03063ACE">
      <w:numFmt w:val="bullet"/>
      <w:pStyle w:val="Bullet2"/>
      <w:lvlText w:val="•"/>
      <w:lvlJc w:val="left"/>
      <w:pPr>
        <w:ind w:left="610" w:hanging="19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6BCCDB66">
      <w:numFmt w:val="bullet"/>
      <w:lvlText w:val="•"/>
      <w:lvlJc w:val="left"/>
      <w:pPr>
        <w:ind w:left="1515" w:hanging="193"/>
      </w:pPr>
      <w:rPr>
        <w:rFonts w:hint="default"/>
      </w:rPr>
    </w:lvl>
    <w:lvl w:ilvl="3" w:tplc="55F64D92">
      <w:numFmt w:val="bullet"/>
      <w:lvlText w:val="•"/>
      <w:lvlJc w:val="left"/>
      <w:pPr>
        <w:ind w:left="2411" w:hanging="193"/>
      </w:pPr>
      <w:rPr>
        <w:rFonts w:hint="default"/>
      </w:rPr>
    </w:lvl>
    <w:lvl w:ilvl="4" w:tplc="3F04058A">
      <w:numFmt w:val="bullet"/>
      <w:lvlText w:val="•"/>
      <w:lvlJc w:val="left"/>
      <w:pPr>
        <w:ind w:left="3306" w:hanging="193"/>
      </w:pPr>
      <w:rPr>
        <w:rFonts w:hint="default"/>
      </w:rPr>
    </w:lvl>
    <w:lvl w:ilvl="5" w:tplc="FA345C3C">
      <w:numFmt w:val="bullet"/>
      <w:lvlText w:val="•"/>
      <w:lvlJc w:val="left"/>
      <w:pPr>
        <w:ind w:left="4202" w:hanging="193"/>
      </w:pPr>
      <w:rPr>
        <w:rFonts w:hint="default"/>
      </w:rPr>
    </w:lvl>
    <w:lvl w:ilvl="6" w:tplc="04B04D36">
      <w:numFmt w:val="bullet"/>
      <w:lvlText w:val="•"/>
      <w:lvlJc w:val="left"/>
      <w:pPr>
        <w:ind w:left="5097" w:hanging="193"/>
      </w:pPr>
      <w:rPr>
        <w:rFonts w:hint="default"/>
      </w:rPr>
    </w:lvl>
    <w:lvl w:ilvl="7" w:tplc="A962A3BC">
      <w:numFmt w:val="bullet"/>
      <w:lvlText w:val="•"/>
      <w:lvlJc w:val="left"/>
      <w:pPr>
        <w:ind w:left="5993" w:hanging="193"/>
      </w:pPr>
      <w:rPr>
        <w:rFonts w:hint="default"/>
      </w:rPr>
    </w:lvl>
    <w:lvl w:ilvl="8" w:tplc="EE2A6B74">
      <w:numFmt w:val="bullet"/>
      <w:lvlText w:val="•"/>
      <w:lvlJc w:val="left"/>
      <w:pPr>
        <w:ind w:left="6888" w:hanging="19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55"/>
    <w:rsid w:val="005D5A55"/>
    <w:rsid w:val="007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09B337"/>
  <w15:docId w15:val="{E07882C3-9404-47C3-98D3-BD19103E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319"/>
    <w:pPr>
      <w:spacing w:before="1"/>
      <w:ind w:left="117"/>
    </w:pPr>
    <w:rPr>
      <w:rFonts w:ascii="Georgia" w:eastAsia="Georgia" w:hAnsi="Georgia" w:cs="Georgia"/>
      <w:sz w:val="20"/>
      <w:szCs w:val="20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8E"/>
    <w:pPr>
      <w:spacing w:before="183"/>
      <w:outlineLvl w:val="1"/>
    </w:pPr>
    <w:rPr>
      <w:rFonts w:ascii="Arial" w:hAnsi="Arial" w:cs="Arial"/>
      <w:b/>
      <w:sz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25F8E"/>
    <w:pPr>
      <w:outlineLvl w:val="2"/>
    </w:pPr>
  </w:style>
  <w:style w:type="paragraph" w:styleId="Heading4">
    <w:name w:val="heading 4"/>
    <w:aliases w:val="Heading"/>
    <w:basedOn w:val="Normal"/>
    <w:next w:val="Normal"/>
    <w:link w:val="Heading4Char"/>
    <w:uiPriority w:val="9"/>
    <w:unhideWhenUsed/>
    <w:qFormat/>
    <w:rsid w:val="00A06BA4"/>
    <w:pPr>
      <w:spacing w:before="76"/>
      <w:outlineLvl w:val="3"/>
    </w:pPr>
    <w:rPr>
      <w:rFonts w:ascii="Arial" w:hAnsi="Arial" w:cs="Arial"/>
      <w:color w:val="645FAA" w:themeColor="accent3"/>
      <w:sz w:val="72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C84D84"/>
    <w:pPr>
      <w:spacing w:line="280" w:lineRule="auto"/>
      <w:ind w:right="558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D84"/>
  </w:style>
  <w:style w:type="character" w:customStyle="1" w:styleId="Heading4Char">
    <w:name w:val="Heading 4 Char"/>
    <w:aliases w:val="Heading Char"/>
    <w:basedOn w:val="DefaultParagraphFont"/>
    <w:link w:val="Heading4"/>
    <w:uiPriority w:val="9"/>
    <w:rsid w:val="00A06BA4"/>
    <w:rPr>
      <w:rFonts w:ascii="Arial" w:eastAsia="Georgia" w:hAnsi="Arial" w:cs="Arial"/>
      <w:color w:val="645FAA" w:themeColor="accent3"/>
      <w:sz w:val="72"/>
      <w:szCs w:val="20"/>
    </w:rPr>
  </w:style>
  <w:style w:type="paragraph" w:customStyle="1" w:styleId="Bullet1">
    <w:name w:val="Bullet 1"/>
    <w:basedOn w:val="Normal"/>
    <w:qFormat/>
    <w:rsid w:val="00925F8E"/>
    <w:pPr>
      <w:numPr>
        <w:numId w:val="1"/>
      </w:numPr>
    </w:pPr>
  </w:style>
  <w:style w:type="paragraph" w:customStyle="1" w:styleId="Bullet2">
    <w:name w:val="Bullet 2"/>
    <w:basedOn w:val="Normal"/>
    <w:qFormat/>
    <w:rsid w:val="00925F8E"/>
    <w:pPr>
      <w:numPr>
        <w:ilvl w:val="1"/>
        <w:numId w:val="1"/>
      </w:numPr>
    </w:pPr>
  </w:style>
  <w:style w:type="paragraph" w:styleId="Footer">
    <w:name w:val="footer"/>
    <w:basedOn w:val="Heading5"/>
    <w:link w:val="FooterChar"/>
    <w:uiPriority w:val="99"/>
    <w:unhideWhenUsed/>
    <w:rsid w:val="00C84D84"/>
  </w:style>
  <w:style w:type="character" w:customStyle="1" w:styleId="FooterChar">
    <w:name w:val="Footer Char"/>
    <w:basedOn w:val="DefaultParagraphFont"/>
    <w:link w:val="Footer"/>
    <w:uiPriority w:val="99"/>
    <w:rsid w:val="00C84D84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5F8E"/>
    <w:rPr>
      <w:rFonts w:ascii="Arial" w:eastAsia="Georgia" w:hAnsi="Arial" w:cs="Arial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5F8E"/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4D84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61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5619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34"/>
    <w:qFormat/>
    <w:rsid w:val="009C26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651"/>
    <w:rPr>
      <w:color w:val="808080"/>
    </w:rPr>
  </w:style>
  <w:style w:type="character" w:styleId="Hyperlink">
    <w:name w:val="Hyperlink"/>
    <w:uiPriority w:val="99"/>
    <w:unhideWhenUsed/>
    <w:rsid w:val="009E4319"/>
    <w:rPr>
      <w:color w:val="0000FF"/>
      <w:u w:val="single"/>
    </w:rPr>
  </w:style>
  <w:style w:type="table" w:styleId="TableGrid">
    <w:name w:val="Table Grid"/>
    <w:basedOn w:val="TableNormal"/>
    <w:uiPriority w:val="39"/>
    <w:rsid w:val="0018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D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C2"/>
    <w:rPr>
      <w:rFonts w:ascii="Segoe UI" w:eastAsia="Georg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534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zl\Desktop\FLYER_Generic_Opt1_TMPLT_0919%20(5).dotx" TargetMode="External"/></Relationships>
</file>

<file path=word/theme/theme1.xml><?xml version="1.0" encoding="utf-8"?>
<a:theme xmlns:a="http://schemas.openxmlformats.org/drawingml/2006/main" name="Office Theme">
  <a:themeElements>
    <a:clrScheme name="CEDARS FINAL COLORS">
      <a:dk1>
        <a:srgbClr val="000000"/>
      </a:dk1>
      <a:lt1>
        <a:srgbClr val="FFFFFF"/>
      </a:lt1>
      <a:dk2>
        <a:srgbClr val="41C0C0"/>
      </a:dk2>
      <a:lt2>
        <a:srgbClr val="129ABF"/>
      </a:lt2>
      <a:accent1>
        <a:srgbClr val="DC1E34"/>
      </a:accent1>
      <a:accent2>
        <a:srgbClr val="76777B"/>
      </a:accent2>
      <a:accent3>
        <a:srgbClr val="645FAA"/>
      </a:accent3>
      <a:accent4>
        <a:srgbClr val="95C93C"/>
      </a:accent4>
      <a:accent5>
        <a:srgbClr val="F3C300"/>
      </a:accent5>
      <a:accent6>
        <a:srgbClr val="FF7F30"/>
      </a:accent6>
      <a:hlink>
        <a:srgbClr val="76777B"/>
      </a:hlink>
      <a:folHlink>
        <a:srgbClr val="7677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34CA7C-33B6-423D-9512-5010B622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FLYER_Generic_Opt1_TMPLT_0919 (5)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Leticia</dc:creator>
  <cp:lastModifiedBy>Swartz, Megan</cp:lastModifiedBy>
  <cp:revision>2</cp:revision>
  <dcterms:created xsi:type="dcterms:W3CDTF">2022-04-20T21:11:00Z</dcterms:created>
  <dcterms:modified xsi:type="dcterms:W3CDTF">2022-04-20T21:11:00Z</dcterms:modified>
</cp:coreProperties>
</file>